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5B4BDB"/>
          <w:sz w:val="18"/>
          <w:szCs w:val="18"/>
        </w:rPr>
        <w:t xml:space="preserve">PROYECTO FINAL · VIBE CODING CEDIA 2026 · LECCIÓN R5.3</w:t>
      </w:r>
    </w:p>
    <w:p>
      <w:pPr>
        <w:pStyle w:val="Title"/>
        <w:spacing w:after="80"/>
      </w:pPr>
      <w:r>
        <w:t xml:space="preserve">Nota metodológica · VibeAutomateResearchTool</w:t>
      </w:r>
    </w:p>
    <w:p>
      <w:pPr>
        <w:spacing w:after="120" w:line="288"/>
      </w:pPr>
      <w:r>
        <w:rPr>
          <w:color w:val="5F6B7D"/>
        </w:rPr>
        <w:t xml:space="preserve">Asistente de evidencia trazable con aprobación humana · Guía de proyecto 08 · Investigación nativa en IA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tblHeader/>
        </w:trPr>
        <w:tc>
          <w:tcPr>
            <w:tcW w:type="dxa" w:w="240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Dato</w:t>
            </w:r>
          </w:p>
        </w:tc>
        <w:tc>
          <w:tcPr>
            <w:tcW w:type="dxa" w:w="7238"/>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Valor</w:t>
            </w:r>
          </w:p>
        </w:tc>
      </w:tr>
      <w:tr>
        <w:trPr>
          <w:tblHeader w:val="false"/>
        </w:trPr>
        <w:tc>
          <w:tcPr>
            <w:tcW w:type="dxa" w:w="24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Autores</w:t>
            </w:r>
          </w:p>
        </w:tc>
        <w:tc>
          <w:tcPr>
            <w:tcW w:type="dxa" w:w="7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Patricio Simbaña Escobar · Universidad UTE · Facultad de Arquitectura y Urbanismo (VC-2026-020)</w:t>
            </w:r>
          </w:p>
          <w:p>
            <w:pPr>
              <w:spacing w:after="40" w:line="252"/>
            </w:pPr>
            <w:r>
              <w:rPr>
                <w:b w:val="false"/>
                <w:bCs w:val="false"/>
                <w:sz w:val="18"/>
                <w:szCs w:val="18"/>
              </w:rPr>
              <w:t xml:space="preserve">Miguel Ángel Botto Tobar · Universidad de Guayaquil · Facultad de Ciencias Matemáticas y Físicas (VC-2026-024)</w:t>
            </w:r>
          </w:p>
        </w:tc>
      </w:tr>
      <w:tr>
        <w:trPr>
          <w:tblHeader w:val="false"/>
        </w:trPr>
        <w:tc>
          <w:tcPr>
            <w:tcW w:type="dxa" w:w="24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Versión de esta nota</w:t>
            </w:r>
          </w:p>
        </w:tc>
        <w:tc>
          <w:tcPr>
            <w:tcW w:type="dxa" w:w="7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v1 · 11-10-2026</w:t>
            </w:r>
          </w:p>
        </w:tc>
      </w:tr>
      <w:tr>
        <w:trPr>
          <w:tblHeader w:val="false"/>
        </w:trPr>
        <w:tc>
          <w:tcPr>
            <w:tcW w:type="dxa" w:w="24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Evidencia de referencia</w:t>
            </w:r>
          </w:p>
        </w:tc>
        <w:tc>
          <w:tcPr>
            <w:tcW w:type="dxa" w:w="7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G08_tabla_evidencia_captacion_lluvia_v1.3.xlsx (instrucciones del asistente v1.2, 06-10-2026)</w:t>
            </w:r>
          </w:p>
        </w:tc>
      </w:tr>
      <w:tr>
        <w:trPr>
          <w:tblHeader w:val="false"/>
        </w:trPr>
        <w:tc>
          <w:tcPr>
            <w:tcW w:type="dxa" w:w="24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Estado</w:t>
            </w:r>
          </w:p>
        </w:tc>
        <w:tc>
          <w:tcPr>
            <w:tcW w:type="dxa" w:w="7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sz w:val="18"/>
                <w:szCs w:val="18"/>
              </w:rPr>
              <w:t xml:space="preserve">Borrador para lectura y confirmación de ambos autores. Lo marcado en </w:t>
            </w:r>
            <w:r>
              <w:rPr>
                <w:i/>
                <w:iCs/>
                <w:color w:val="A86500"/>
                <w:sz w:val="18"/>
                <w:szCs w:val="18"/>
              </w:rPr>
              <w:t xml:space="preserve">cursiva ocre</w:t>
            </w:r>
            <w:r>
              <w:rPr>
                <w:sz w:val="18"/>
                <w:szCs w:val="18"/>
              </w:rPr>
              <w:t xml:space="preserve"> está pendiente.</w:t>
            </w:r>
          </w:p>
        </w:tc>
      </w:tr>
    </w:tbl>
    <w:p>
      <w:pPr>
        <w:pStyle w:val="Heading1"/>
        <w:spacing w:after="120" w:before="280"/>
      </w:pPr>
      <w:r>
        <w:t xml:space="preserve">1 · Propósito y límite</w:t>
      </w:r>
    </w:p>
    <w:p>
      <w:pPr>
        <w:spacing w:after="120" w:line="288"/>
      </w:pPr>
      <w:r>
        <w:rPr>
          <w:b/>
          <w:bCs/>
        </w:rPr>
        <w:t xml:space="preserve">Propósito. </w:t>
      </w:r>
      <w:r>
        <w:t xml:space="preserve">La herramienta organiza pocas fuentes en una tabla de evidencia trazable y prepara una síntesis breve que solo usa registros aprobados y firmados por una persona. Cada afirmación de la síntesis se puede rastrear hasta su fila, su fuente y un pasaje literal del resumen del editor.</w:t>
      </w:r>
    </w:p>
    <w:p>
      <w:pPr>
        <w:spacing w:after="120" w:line="288"/>
      </w:pPr>
      <w:r>
        <w:rPr>
          <w:b/>
          <w:bCs/>
        </w:rPr>
        <w:t xml:space="preserve">Ejercicio con el que se probó. </w:t>
      </w:r>
      <w:r>
        <w:t xml:space="preserve">Pregunta: «¿Qué ahorro de agua potable reportan los sistemas de captación de agua lluvia aplicados en edificios o campus universitarios, y con qué tipo de evidencia (medida o simulada) se obtiene ese ahorro?». De 39 registros exportados de Scopus el 22-09-2026 se tomaron cinco resúmenes: tres pertinentes, uno irrelevante (S04) y una referencia incompleta (S05), como pide la guía 08.</w:t>
      </w:r>
    </w:p>
    <w:p>
      <w:pPr>
        <w:spacing w:after="120" w:line="288"/>
      </w:pPr>
      <w:r>
        <w:rPr>
          <w:b/>
          <w:bCs/>
        </w:rPr>
        <w:t xml:space="preserve">Límite. </w:t>
      </w:r>
      <w:r>
        <w:t xml:space="preserve">La herramienta trabaja solo con resúmenes públicos; tres filas (E05, E07, E13) requieren el texto completo para afirmar cómo se midió. Cinco de 39 registros no permiten generalizar un rango de ahorro. No sustituye una revisión sistemática con protocolo registrado. No envía mensajes, no modifica archivos originales ni registra nada en sistemas externos.</w:t>
      </w:r>
    </w:p>
    <w:p>
      <w:pPr>
        <w:spacing w:after="120" w:line="288"/>
      </w:pPr>
      <w:r>
        <w:rPr>
          <w:b/>
          <w:bCs/>
        </w:rPr>
        <w:t xml:space="preserve">Complemento. </w:t>
      </w:r>
      <w:r>
        <w:t xml:space="preserve">RainEvidence v1.1 es un tablero prototipo que ubica un escenario de captación frente a las cifras de S01, S02 y S03. Hace un balance anual (no dimensiona tanques), sus reglas son fijas y visibles en la página y no forma parte de la evidencia.</w:t>
      </w:r>
    </w:p>
    <w:p>
      <w:pPr>
        <w:pStyle w:val="Heading1"/>
        <w:spacing w:after="120" w:before="280"/>
      </w:pPr>
      <w:r>
        <w:t xml:space="preserve">2 · Recorrido revisable</w:t>
      </w:r>
    </w:p>
    <w:p>
      <w:pPr>
        <w:spacing w:after="120" w:line="288"/>
      </w:pPr>
      <w:r>
        <w:t xml:space="preserve">Cada etapa deja una hoja en la tabla de evidencia v1.3. La columna «Evidencia» indica dónde comprobarlo.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050"/>
        <w:gridCol w:w="2350"/>
        <w:gridCol w:w="2050"/>
        <w:gridCol w:w="1688"/>
      </w:tblGrid>
      <w:tr>
        <w:trPr>
          <w:tblHeader/>
        </w:trPr>
        <w:tc>
          <w:tcPr>
            <w:tcW w:type="dxa" w:w="150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Etapa</w:t>
            </w:r>
          </w:p>
        </w:tc>
        <w:tc>
          <w:tcPr>
            <w:tcW w:type="dxa" w:w="205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Entrada</w:t>
            </w:r>
          </w:p>
        </w:tc>
        <w:tc>
          <w:tcPr>
            <w:tcW w:type="dxa" w:w="235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Regla</w:t>
            </w:r>
          </w:p>
        </w:tc>
        <w:tc>
          <w:tcPr>
            <w:tcW w:type="dxa" w:w="205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Resultado</w:t>
            </w:r>
          </w:p>
        </w:tc>
        <w:tc>
          <w:tcPr>
            <w:tcW w:type="dxa" w:w="1688"/>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Evidencia</w:t>
            </w:r>
          </w:p>
        </w:tc>
      </w:tr>
      <w:tr>
        <w:trPr>
          <w:tblHeader w:val="false"/>
        </w:trPr>
        <w:tc>
          <w:tcPr>
            <w:tcW w:type="dxa" w:w="15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Protocolo</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Pregunta y consulta en Scopus AI</w:t>
            </w:r>
          </w:p>
        </w:tc>
        <w:tc>
          <w:tcPr>
            <w:tcW w:type="dxa" w:w="23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Criterios C1 (contexto universitario), C2 (ahorro cuantificado), C3 (referencia completa)</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Protocolo y criterios escritos</w:t>
            </w:r>
          </w:p>
        </w:tc>
        <w:tc>
          <w:tcPr>
            <w:tcW w:type="dxa" w:w="168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Hoja Protocolo</w:t>
            </w:r>
          </w:p>
        </w:tc>
      </w:tr>
      <w:tr>
        <w:trPr>
          <w:tblHeader w:val="false"/>
        </w:trPr>
        <w:tc>
          <w:tcPr>
            <w:tcW w:type="dxa" w:w="15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Incorporar y verificar</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Cinco resúmenes con DOI o identificador</w:t>
            </w:r>
          </w:p>
        </w:tc>
        <w:tc>
          <w:tcPr>
            <w:tcW w:type="dxa" w:w="23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Ninguna referencia se completa por inferencia; una persona verifica en la fuente original</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S01–S04 verificadas; S05 con identificador hallado en ORDA y confirmado por la persona</w:t>
            </w:r>
          </w:p>
        </w:tc>
        <w:tc>
          <w:tcPr>
            <w:tcW w:type="dxa" w:w="168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Entradas; Registro pasos 1–5 y 28</w:t>
            </w:r>
          </w:p>
        </w:tc>
      </w:tr>
      <w:tr>
        <w:trPr>
          <w:tblHeader w:val="false"/>
        </w:trPr>
        <w:tc>
          <w:tcPr>
            <w:tcW w:type="dxa" w:w="15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Pertinencia</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Resumen de cada fuente</w:t>
            </w:r>
          </w:p>
        </w:tc>
        <w:tc>
          <w:tcPr>
            <w:tcW w:type="dxa" w:w="23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Propuesta de la IA por criterios; la persona aprueba, corrige o rechaza y firma</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S01, S02 aprobadas; S03 corregida; S04 rechazada (C2); S05 pendiente</w:t>
            </w:r>
          </w:p>
        </w:tc>
        <w:tc>
          <w:tcPr>
            <w:tcW w:type="dxa" w:w="168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Selección (5 de 5 pasajes literales)</w:t>
            </w:r>
          </w:p>
        </w:tc>
      </w:tr>
      <w:tr>
        <w:trPr>
          <w:tblHeader w:val="false"/>
        </w:trPr>
        <w:tc>
          <w:tcPr>
            <w:tcW w:type="dxa" w:w="15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Extracción</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Fuentes aprobadas</w:t>
            </w:r>
          </w:p>
        </w:tc>
        <w:tc>
          <w:tcPr>
            <w:tcW w:type="dxa" w:w="23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Cada campo con pasaje literal; una fórmula lo busca en el resumen del editor</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14 filas; 4 corregidas, 1 rechazada, 1 vacía; 13 de 13 pasajes literales</w:t>
            </w:r>
          </w:p>
        </w:tc>
        <w:tc>
          <w:tcPr>
            <w:tcW w:type="dxa" w:w="168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Extracción; Resúmenes; prueba P4</w:t>
            </w:r>
          </w:p>
        </w:tc>
      </w:tr>
      <w:tr>
        <w:trPr>
          <w:tblHeader w:val="false"/>
        </w:trPr>
        <w:tc>
          <w:tcPr>
            <w:tcW w:type="dxa" w:w="15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Síntesis</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Filas aprobadas y firmadas</w:t>
            </w:r>
          </w:p>
        </w:tc>
        <w:tc>
          <w:tcPr>
            <w:tcW w:type="dxa" w:w="23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Una afirmación cuenta solo si todas sus filas están en la Tabla final</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5 afirmaciones, 5 respaldadas</w:t>
            </w:r>
          </w:p>
        </w:tc>
        <w:tc>
          <w:tcPr>
            <w:tcW w:type="dxa" w:w="168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Síntesis; Tabla final; P5</w:t>
            </w:r>
          </w:p>
        </w:tc>
      </w:tr>
      <w:tr>
        <w:trPr>
          <w:tblHeader w:val="false"/>
        </w:trPr>
        <w:tc>
          <w:tcPr>
            <w:tcW w:type="dxa" w:w="15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Pruebas</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P1–P10</w:t>
            </w:r>
          </w:p>
        </w:tc>
        <w:tc>
          <w:tcPr>
            <w:tcW w:type="dxa" w:w="23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P1–P6 por fórmula; P7–P10 en el Proyecto de Claude</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sz w:val="18"/>
                <w:szCs w:val="18"/>
              </w:rPr>
              <w:t xml:space="preserve">9 de 10 marcadas «Sí»; P1 resuelta por la persona. </w:t>
            </w:r>
            <w:r>
              <w:rPr>
                <w:i/>
                <w:iCs/>
                <w:color w:val="A86500"/>
                <w:sz w:val="18"/>
                <w:szCs w:val="18"/>
              </w:rPr>
              <w:t xml:space="preserve">Falta anotar el resultado observado, quién ejecutó y la fecha de P7–P10.</w:t>
            </w:r>
          </w:p>
        </w:tc>
        <w:tc>
          <w:tcPr>
            <w:tcW w:type="dxa" w:w="168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Pruebas; Resumen</w:t>
            </w:r>
          </w:p>
        </w:tc>
      </w:tr>
      <w:tr>
        <w:trPr>
          <w:tblHeader w:val="false"/>
        </w:trPr>
        <w:tc>
          <w:tcPr>
            <w:tcW w:type="dxa" w:w="15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Contraste externo</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Informe de Scopus AI</w:t>
            </w:r>
          </w:p>
        </w:tc>
        <w:tc>
          <w:tcPr>
            <w:tcW w:type="dxa" w:w="23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Cada afirmación del informe se coteja con los resúmenes</w:t>
            </w:r>
          </w:p>
        </w:tc>
        <w:tc>
          <w:tcPr>
            <w:tcW w:type="dxa" w:w="205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2 de 7 afirmaciones coinciden</w:t>
            </w:r>
          </w:p>
        </w:tc>
        <w:tc>
          <w:tcPr>
            <w:tcW w:type="dxa" w:w="168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Verificación Scopus AI</w:t>
            </w:r>
          </w:p>
        </w:tc>
      </w:tr>
    </w:tbl>
    <w:p>
      <w:pPr>
        <w:pStyle w:val="Heading1"/>
        <w:spacing w:after="120" w:before="280"/>
      </w:pPr>
      <w:r>
        <w:t xml:space="preserve">3 · Aportes de la IA y de las personas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1900"/>
        <w:gridCol w:w="2238"/>
        <w:gridCol w:w="1800"/>
        <w:gridCol w:w="1800"/>
      </w:tblGrid>
      <w:tr>
        <w:trPr>
          <w:tblHeader/>
        </w:trPr>
        <w:tc>
          <w:tcPr>
            <w:tcW w:type="dxa" w:w="190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Intervención</w:t>
            </w:r>
          </w:p>
        </w:tc>
        <w:tc>
          <w:tcPr>
            <w:tcW w:type="dxa" w:w="190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Herramienta</w:t>
            </w:r>
          </w:p>
        </w:tc>
        <w:tc>
          <w:tcPr>
            <w:tcW w:type="dxa" w:w="2238"/>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Tarea y entrada</w:t>
            </w:r>
          </w:p>
        </w:tc>
        <w:tc>
          <w:tcPr>
            <w:tcW w:type="dxa" w:w="180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Producto</w:t>
            </w:r>
          </w:p>
        </w:tc>
        <w:tc>
          <w:tcPr>
            <w:tcW w:type="dxa" w:w="180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Quién revisó</w:t>
            </w:r>
          </w:p>
        </w:tc>
      </w:tr>
      <w:tr>
        <w:trPr>
          <w:tblHeader w:val="false"/>
        </w:trPr>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Búsqueda inicial</w:t>
            </w:r>
          </w:p>
        </w:tc>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Scopus AI (Deep research), 22-09-2026</w:t>
            </w:r>
          </w:p>
        </w:tc>
        <w:tc>
          <w:tcPr>
            <w:tcW w:type="dxa" w:w="2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Pregunta y pregunta de seguimiento</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Informe y exportación de 39 registros</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Patricio Simbaña: cotejó 7 afirmaciones del informe (2 coinciden)</w:t>
            </w:r>
          </w:p>
        </w:tc>
      </w:tr>
      <w:tr>
        <w:trPr>
          <w:tblHeader w:val="false"/>
        </w:trPr>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Selección y extracción</w:t>
            </w:r>
          </w:p>
        </w:tc>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Proyecto de Claude con instrucciones v1.2</w:t>
            </w:r>
          </w:p>
        </w:tc>
        <w:tc>
          <w:tcPr>
            <w:tcW w:type="dxa" w:w="2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Proponer inclusión o exclusión y extraer campos de los cinco resúmenes</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Columnas «Propuesta IA» y «Valor propuesto IA»</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Patricio Simbaña: 19 decisiones firmadas (06-10-2026)</w:t>
            </w:r>
          </w:p>
        </w:tc>
      </w:tr>
      <w:tr>
        <w:trPr>
          <w:tblHeader w:val="false"/>
        </w:trPr>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Revisión de pasajes (v1.2)</w:t>
            </w:r>
          </w:p>
        </w:tc>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Claude, conversación del 06-10-2026</w:t>
            </w:r>
          </w:p>
        </w:tc>
        <w:tc>
          <w:tcPr>
            <w:tcW w:type="dxa" w:w="2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Cotejar pasajes con el resumen del editor (J-STAGE, Springer, Europe PMC, OpenAlex)</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Pasajes E04–E06 corregidos; filas E12–E14</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Patricio Simbaña: aprobó y firmó</w:t>
            </w:r>
          </w:p>
        </w:tc>
      </w:tr>
      <w:tr>
        <w:trPr>
          <w:tblHeader w:val="false"/>
        </w:trPr>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Corrección de fechas (v1.3)</w:t>
            </w:r>
          </w:p>
        </w:tc>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Hoja de cálculo</w:t>
            </w:r>
          </w:p>
        </w:tc>
        <w:tc>
          <w:tcPr>
            <w:tcW w:type="dxa" w:w="2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Fechas de firma 2025 → 2026</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Registro, paso 32</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sz w:val="18"/>
                <w:szCs w:val="18"/>
              </w:rPr>
              <w:t xml:space="preserve">Confirmado por el subgrupo (11-10-2026). </w:t>
            </w:r>
            <w:r>
              <w:rPr>
                <w:i/>
                <w:iCs/>
                <w:color w:val="A86500"/>
                <w:sz w:val="18"/>
                <w:szCs w:val="18"/>
              </w:rPr>
              <w:t xml:space="preserve">Firma del paso 32 pendiente.</w:t>
            </w:r>
          </w:p>
        </w:tc>
      </w:tr>
      <w:tr>
        <w:trPr>
          <w:tblHeader w:val="false"/>
        </w:trPr>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Tablero RainEvidence</w:t>
            </w:r>
          </w:p>
        </w:tc>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sz w:val="18"/>
                <w:szCs w:val="18"/>
              </w:rPr>
              <w:t xml:space="preserve">v1.0: el subgrupo. </w:t>
            </w:r>
            <w:r>
              <w:rPr>
                <w:i/>
                <w:iCs/>
                <w:color w:val="A86500"/>
                <w:sz w:val="18"/>
                <w:szCs w:val="18"/>
              </w:rPr>
              <w:t xml:space="preserve">Herramienta de IA usada: pendiente de registrar.</w:t>
            </w:r>
            <w:r>
              <w:rPr>
                <w:sz w:val="18"/>
                <w:szCs w:val="18"/>
              </w:rPr>
              <w:t xml:space="preserve"> v1.1: Claude, 11-10-2026</w:t>
            </w:r>
          </w:p>
        </w:tc>
        <w:tc>
          <w:tcPr>
            <w:tcW w:type="dxa" w:w="2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Corregir S02, la regla de confianza, añadir costos y citas de filas</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RainEvidence v1.1</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i/>
                <w:iCs/>
                <w:color w:val="A86500"/>
                <w:sz w:val="18"/>
                <w:szCs w:val="18"/>
              </w:rPr>
              <w:t xml:space="preserve">Lectura y confirmación del subgrupo pendientes.</w:t>
            </w:r>
          </w:p>
        </w:tc>
      </w:tr>
      <w:tr>
        <w:trPr>
          <w:tblHeader w:val="false"/>
        </w:trPr>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Guion, presentaciones y esta nota</w:t>
            </w:r>
          </w:p>
        </w:tc>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Claude con la skill del proyecto final, 11-10-2026</w:t>
            </w:r>
          </w:p>
        </w:tc>
        <w:tc>
          <w:tcPr>
            <w:tcW w:type="dxa" w:w="2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Datos de la tabla v1.3 y ficha del subgrupo</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Guion ES y EN, dos .pptx, nota v1</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sz w:val="18"/>
                <w:szCs w:val="18"/>
              </w:rPr>
              <w:t xml:space="preserve">Patricio Simbaña aprobó el guion en español. </w:t>
            </w:r>
            <w:r>
              <w:rPr>
                <w:i/>
                <w:iCs/>
                <w:color w:val="A86500"/>
                <w:sz w:val="18"/>
                <w:szCs w:val="18"/>
              </w:rPr>
              <w:t xml:space="preserve">Revisión del inglés y de esta nota pendientes.</w:t>
            </w:r>
          </w:p>
        </w:tc>
      </w:tr>
      <w:tr>
        <w:trPr>
          <w:tblHeader w:val="false"/>
        </w:trPr>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Narración</w:t>
            </w:r>
          </w:p>
        </w:tc>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ElevenLabs desde Claude (voz «Carlos», Multilingual v2)</w:t>
            </w:r>
          </w:p>
        </w:tc>
        <w:tc>
          <w:tcPr>
            <w:tcW w:type="dxa" w:w="2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Guion de las notas del orador</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Un audio por idioma</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sz w:val="18"/>
                <w:szCs w:val="18"/>
              </w:rPr>
              <w:t xml:space="preserve">Patricio Simbaña aprobó la voz. </w:t>
            </w:r>
            <w:r>
              <w:rPr>
                <w:i/>
                <w:iCs/>
                <w:color w:val="A86500"/>
                <w:sz w:val="18"/>
                <w:szCs w:val="18"/>
              </w:rPr>
              <w:t xml:space="preserve">Escucha completa pendiente.</w:t>
            </w:r>
          </w:p>
        </w:tc>
      </w:tr>
      <w:tr>
        <w:trPr>
          <w:tblHeader w:val="false"/>
        </w:trPr>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Capturas y videos</w:t>
            </w:r>
          </w:p>
        </w:tc>
        <w:tc>
          <w:tcPr>
            <w:tcW w:type="dxa" w:w="19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LibreOffice y ffmpeg, en Claude</w:t>
            </w:r>
          </w:p>
        </w:tc>
        <w:tc>
          <w:tcPr>
            <w:tcW w:type="dxa" w:w="22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Hojas de la tabla v1.3 y diapositivas. Las pausas entre frases se alargaron por igual (0,66 s en español y 0,34 s en inglés) para que cada video dure 4:40; la voz no se aceleró ni se editó</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Capturas 7–9; dos videos MP4 de 4:40</w:t>
            </w:r>
          </w:p>
        </w:tc>
        <w:tc>
          <w:tcPr>
            <w:tcW w:type="dxa" w:w="18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i/>
                <w:iCs/>
                <w:color w:val="A86500"/>
                <w:sz w:val="18"/>
                <w:szCs w:val="18"/>
              </w:rPr>
              <w:t xml:space="preserve">Revisión completa de los videos pendiente.</w:t>
            </w:r>
          </w:p>
        </w:tc>
      </w:tr>
    </w:tbl>
    <w:p>
      <w:pPr>
        <w:spacing w:after="120" w:before="120"/>
      </w:pPr>
      <w:r>
        <w:rPr>
          <w:i/>
          <w:iCs/>
          <w:color w:val="A86500"/>
          <w:sz w:val="18"/>
          <w:szCs w:val="18"/>
        </w:rPr>
        <w:t xml:space="preserve">Aportes de Miguel Ángel Botto Tobar: pendiente de registrar por el subgrupo.</w:t>
      </w:r>
    </w:p>
    <w:p>
      <w:pPr>
        <w:pStyle w:val="Heading1"/>
        <w:spacing w:after="120" w:before="280"/>
      </w:pPr>
      <w:r>
        <w:t xml:space="preserve">4 · Versiones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300"/>
        <w:gridCol w:w="1300"/>
        <w:gridCol w:w="1400"/>
        <w:gridCol w:w="2638"/>
      </w:tblGrid>
      <w:tr>
        <w:trPr>
          <w:tblHeader/>
        </w:trPr>
        <w:tc>
          <w:tcPr>
            <w:tcW w:type="dxa" w:w="430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Archivo</w:t>
            </w:r>
          </w:p>
        </w:tc>
        <w:tc>
          <w:tcPr>
            <w:tcW w:type="dxa" w:w="130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Versión</w:t>
            </w:r>
          </w:p>
        </w:tc>
        <w:tc>
          <w:tcPr>
            <w:tcW w:type="dxa" w:w="1400"/>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Fecha</w:t>
            </w:r>
          </w:p>
        </w:tc>
        <w:tc>
          <w:tcPr>
            <w:tcW w:type="dxa" w:w="2638"/>
            <w:tcBorders>
              <w:top w:val="single" w:color="C9CEE0" w:sz="4"/>
              <w:left w:val="single" w:color="C9CEE0" w:sz="4"/>
              <w:bottom w:val="single" w:color="C9CEE0" w:sz="4"/>
              <w:right w:val="single" w:color="C9CEE0" w:sz="4"/>
            </w:tcBorders>
            <w:shd w:fill="EEF0FB" w:color="auto" w:val="clear"/>
            <w:tcMar>
              <w:top w:type="dxa" w:w="60"/>
              <w:left w:type="dxa" w:w="90"/>
              <w:bottom w:type="dxa" w:w="60"/>
              <w:right w:type="dxa" w:w="90"/>
            </w:tcMar>
          </w:tcPr>
          <w:p>
            <w:pPr>
              <w:spacing w:after="40" w:line="252"/>
            </w:pPr>
            <w:r>
              <w:rPr>
                <w:b/>
                <w:bCs/>
                <w:color w:val="0B1020"/>
                <w:sz w:val="18"/>
                <w:szCs w:val="18"/>
              </w:rPr>
              <w:t xml:space="preserve">Corresponde a</w:t>
            </w:r>
          </w:p>
        </w:tc>
      </w:tr>
      <w:tr>
        <w:trPr>
          <w:tblHeader w:val="false"/>
        </w:trPr>
        <w:tc>
          <w:tcPr>
            <w:tcW w:type="dxa" w:w="4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G08_tabla_evidencia_captacion_lluvia_v1.3.xlsx</w:t>
            </w:r>
          </w:p>
        </w:tc>
        <w:tc>
          <w:tcPr>
            <w:tcW w:type="dxa" w:w="1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v1.3</w:t>
            </w:r>
          </w:p>
        </w:tc>
        <w:tc>
          <w:tcPr>
            <w:tcW w:type="dxa" w:w="14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11-10-2026</w:t>
            </w:r>
          </w:p>
        </w:tc>
        <w:tc>
          <w:tcPr>
            <w:tcW w:type="dxa" w:w="26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Toda la evidencia y las capturas 7–9</w:t>
            </w:r>
          </w:p>
        </w:tc>
      </w:tr>
      <w:tr>
        <w:trPr>
          <w:tblHeader w:val="false"/>
        </w:trPr>
        <w:tc>
          <w:tcPr>
            <w:tcW w:type="dxa" w:w="4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Instrucciones del asistente (Proyecto de Claude)</w:t>
            </w:r>
          </w:p>
        </w:tc>
        <w:tc>
          <w:tcPr>
            <w:tcW w:type="dxa" w:w="1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v1.2</w:t>
            </w:r>
          </w:p>
        </w:tc>
        <w:tc>
          <w:tcPr>
            <w:tcW w:type="dxa" w:w="14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06-10-2026</w:t>
            </w:r>
          </w:p>
        </w:tc>
        <w:tc>
          <w:tcPr>
            <w:tcW w:type="dxa" w:w="26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Propuestas de la IA</w:t>
            </w:r>
          </w:p>
        </w:tc>
      </w:tr>
      <w:tr>
        <w:trPr>
          <w:tblHeader w:val="false"/>
        </w:trPr>
        <w:tc>
          <w:tcPr>
            <w:tcW w:type="dxa" w:w="4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VC-2026-020-024_ProyectoFinal_ES.pptx / _EN.pptx</w:t>
            </w:r>
          </w:p>
        </w:tc>
        <w:tc>
          <w:tcPr>
            <w:tcW w:type="dxa" w:w="1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v1</w:t>
            </w:r>
          </w:p>
        </w:tc>
        <w:tc>
          <w:tcPr>
            <w:tcW w:type="dxa" w:w="14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11-10-2026</w:t>
            </w:r>
          </w:p>
        </w:tc>
        <w:tc>
          <w:tcPr>
            <w:tcW w:type="dxa" w:w="26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Presentación y guion (notas del orador)</w:t>
            </w:r>
          </w:p>
        </w:tc>
      </w:tr>
      <w:tr>
        <w:trPr>
          <w:tblHeader w:val="false"/>
        </w:trPr>
        <w:tc>
          <w:tcPr>
            <w:tcW w:type="dxa" w:w="4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RainEvidence_Dashboard_G08_v1.1.html</w:t>
            </w:r>
          </w:p>
        </w:tc>
        <w:tc>
          <w:tcPr>
            <w:tcW w:type="dxa" w:w="1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v1.1</w:t>
            </w:r>
          </w:p>
        </w:tc>
        <w:tc>
          <w:tcPr>
            <w:tcW w:type="dxa" w:w="14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11-10-2026</w:t>
            </w:r>
          </w:p>
        </w:tc>
        <w:tc>
          <w:tcPr>
            <w:tcW w:type="dxa" w:w="26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Complemento (v1.0 del subgrupo, sin fecha registrada)</w:t>
            </w:r>
          </w:p>
        </w:tc>
      </w:tr>
      <w:tr>
        <w:trPr>
          <w:tblHeader w:val="false"/>
        </w:trPr>
        <w:tc>
          <w:tcPr>
            <w:tcW w:type="dxa" w:w="4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Narración ES y EN (MP3)</w:t>
            </w:r>
          </w:p>
        </w:tc>
        <w:tc>
          <w:tcPr>
            <w:tcW w:type="dxa" w:w="1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toma 1</w:t>
            </w:r>
          </w:p>
        </w:tc>
        <w:tc>
          <w:tcPr>
            <w:tcW w:type="dxa" w:w="14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11-10-2026</w:t>
            </w:r>
          </w:p>
        </w:tc>
        <w:tc>
          <w:tcPr>
            <w:tcW w:type="dxa" w:w="26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Audio de los videos</w:t>
            </w:r>
          </w:p>
        </w:tc>
      </w:tr>
      <w:tr>
        <w:trPr>
          <w:tblHeader w:val="false"/>
        </w:trPr>
        <w:tc>
          <w:tcPr>
            <w:tcW w:type="dxa" w:w="4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VC-2026-020-024_ProyectoFinal_ES.mp4 / _EN.mp4</w:t>
            </w:r>
          </w:p>
        </w:tc>
        <w:tc>
          <w:tcPr>
            <w:tcW w:type="dxa" w:w="1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v1</w:t>
            </w:r>
          </w:p>
        </w:tc>
        <w:tc>
          <w:tcPr>
            <w:tcW w:type="dxa" w:w="14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11-10-2026</w:t>
            </w:r>
          </w:p>
        </w:tc>
        <w:tc>
          <w:tcPr>
            <w:tcW w:type="dxa" w:w="26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Entrega (4:40 cada uno, 1920 × 1080)</w:t>
            </w:r>
          </w:p>
        </w:tc>
      </w:tr>
      <w:tr>
        <w:trPr>
          <w:tblHeader w:val="false"/>
        </w:trPr>
        <w:tc>
          <w:tcPr>
            <w:tcW w:type="dxa" w:w="4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Repositorio y GitHub Pages</w:t>
            </w:r>
          </w:p>
        </w:tc>
        <w:tc>
          <w:tcPr>
            <w:tcW w:type="dxa" w:w="13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i/>
                <w:iCs/>
                <w:color w:val="A86500"/>
                <w:sz w:val="18"/>
                <w:szCs w:val="18"/>
              </w:rPr>
              <w:t xml:space="preserve">pendiente</w:t>
            </w:r>
          </w:p>
        </w:tc>
        <w:tc>
          <w:tcPr>
            <w:tcW w:type="dxa" w:w="1400"/>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i/>
                <w:iCs/>
                <w:color w:val="A86500"/>
                <w:sz w:val="18"/>
                <w:szCs w:val="18"/>
              </w:rPr>
              <w:t xml:space="preserve">pendiente</w:t>
            </w:r>
          </w:p>
        </w:tc>
        <w:tc>
          <w:tcPr>
            <w:tcW w:type="dxa" w:w="2638"/>
            <w:tcBorders>
              <w:top w:val="single" w:color="C9CEE0" w:sz="4"/>
              <w:left w:val="single" w:color="C9CEE0" w:sz="4"/>
              <w:bottom w:val="single" w:color="C9CEE0" w:sz="4"/>
              <w:right w:val="single" w:color="C9CEE0" w:sz="4"/>
            </w:tcBorders>
            <w:tcMar>
              <w:top w:type="dxa" w:w="60"/>
              <w:left w:type="dxa" w:w="90"/>
              <w:bottom w:type="dxa" w:w="60"/>
              <w:right w:type="dxa" w:w="90"/>
            </w:tcMar>
          </w:tcPr>
          <w:p>
            <w:pPr>
              <w:spacing w:after="40" w:line="252"/>
            </w:pPr>
            <w:r>
              <w:rPr>
                <w:b w:val="false"/>
                <w:bCs w:val="false"/>
                <w:sz w:val="18"/>
                <w:szCs w:val="18"/>
              </w:rPr>
              <w:t xml:space="preserve">Publicación</w:t>
            </w:r>
          </w:p>
        </w:tc>
      </w:tr>
    </w:tbl>
    <w:p>
      <w:pPr>
        <w:pStyle w:val="Heading1"/>
        <w:spacing w:after="120" w:before="280"/>
      </w:pPr>
      <w:r>
        <w:t xml:space="preserve">5 · Alcance y declaración de uso de IA</w:t>
      </w:r>
    </w:p>
    <w:p>
      <w:pPr>
        <w:spacing w:after="120" w:line="288"/>
      </w:pPr>
      <w:r>
        <w:rPr>
          <w:b/>
          <w:bCs/>
        </w:rPr>
        <w:t xml:space="preserve">Qué se puede concluir. </w:t>
      </w:r>
      <w:r>
        <w:t xml:space="preserve">En este ejercicio de cinco resúmenes, el flujo con firma humana detectó errores en 5 de 11 propuestas de extracción de la IA (4 corregidas y 1 rechazada). Los 13 pasajes usados son literales, y cada una de las cinco afirmaciones de la síntesis se apoya en filas aprobadas y firmadas. Del informe de Scopus AI, 2 de 7 afirmaciones coincidieron con los resúmenes.</w:t>
      </w:r>
    </w:p>
    <w:p>
      <w:pPr>
        <w:spacing w:after="120" w:line="288"/>
      </w:pPr>
      <w:r>
        <w:rPr>
          <w:b/>
          <w:bCs/>
        </w:rPr>
        <w:t xml:space="preserve">Qué no se puede concluir. </w:t>
      </w:r>
      <w:r>
        <w:t xml:space="preserve">No demuestra exactitud con otros temas, más fuentes u otros modelos. No estima cuánta agua ahorra la captación en universidades: S02 y S03 usan métricas distintas y solo se leyó su resumen. No valida la herramienta para revisiones sistemáticas ni promete su publicación o reproducibilidad fuera de estas cinco fuentes.</w:t>
      </w:r>
    </w:p>
    <w:p>
      <w:pPr>
        <w:spacing w:after="120" w:line="288"/>
      </w:pPr>
      <w:r>
        <w:rPr>
          <w:b/>
          <w:bCs/>
        </w:rPr>
        <w:t xml:space="preserve">Declaración de uso de IA. </w:t>
      </w:r>
      <w:r>
        <w:t xml:space="preserve">Usamos Scopus AI para la búsqueda inicial; Claude para proponer selección, extracción y síntesis, para cotejar pasajes y para preparar el guion, las presentaciones, el tablero v1.1 y esta nota; y ElevenLabs para la narración con voz sintética, que se anuncia en la portada. Todas las decisiones sobre la evidencia las tomó y firmó una persona. Las capturas muestran solo publicaciones públicas y el nombre del revisor; no contienen datos personales de terceros.</w:t>
      </w:r>
    </w:p>
    <w:p>
      <w:pPr>
        <w:pStyle w:val="Heading1"/>
        <w:spacing w:after="120" w:before="280"/>
      </w:pPr>
      <w:r>
        <w:t xml:space="preserve">6 · Plan de mantenimiento</w:t>
      </w:r>
    </w:p>
    <w:p>
      <w:pPr>
        <w:spacing w:after="120" w:line="288"/>
      </w:pPr>
      <w:r>
        <w:rPr>
          <w:b/>
          <w:bCs/>
        </w:rPr>
        <w:t xml:space="preserve">Rol responsable. </w:t>
      </w:r>
      <w:r>
        <w:t xml:space="preserve">Responsable de la tabla de evidencia y de las instrucciones del asistente. </w:t>
      </w:r>
      <w:r>
        <w:rPr>
          <w:i/>
          <w:iCs/>
          <w:color w:val="A86500"/>
        </w:rPr>
        <w:t xml:space="preserve">Persona que acepta el rol: pendiente de designar por el subgrupo.</w:t>
      </w:r>
    </w:p>
    <w:p>
      <w:pPr>
        <w:spacing w:after="120" w:line="288"/>
      </w:pPr>
      <w:r>
        <w:rPr>
          <w:b/>
          <w:bCs/>
        </w:rPr>
        <w:t xml:space="preserve">Cambios que activan una revisión:</w:t>
      </w:r>
    </w:p>
    <w:p>
      <w:pPr>
        <w:pStyle w:val="ListParagraph"/>
        <w:numPr>
          <w:ilvl w:val="0"/>
          <w:numId w:val="2"/>
        </w:numPr>
        <w:spacing w:after="80" w:line="276"/>
      </w:pPr>
      <w:r>
        <w:t xml:space="preserve">Nueva versión de las instrucciones o cambio del modelo de IA.</w:t>
      </w:r>
    </w:p>
    <w:p>
      <w:pPr>
        <w:pStyle w:val="ListParagraph"/>
        <w:numPr>
          <w:ilvl w:val="0"/>
          <w:numId w:val="2"/>
        </w:numPr>
        <w:spacing w:after="80" w:line="276"/>
      </w:pPr>
      <w:r>
        <w:t xml:space="preserve">Nuevas fuentes, acceso al texto completo o cambio en el resumen de un editor.</w:t>
      </w:r>
    </w:p>
    <w:p>
      <w:pPr>
        <w:pStyle w:val="ListParagraph"/>
        <w:numPr>
          <w:ilvl w:val="0"/>
          <w:numId w:val="2"/>
        </w:numPr>
        <w:spacing w:after="80" w:line="276"/>
      </w:pPr>
      <w:r>
        <w:t xml:space="preserve">Un pasaje que deja de aparecer literal o una afirmación que no se puede rastrear.</w:t>
      </w:r>
    </w:p>
    <w:p>
      <w:pPr>
        <w:pStyle w:val="ListParagraph"/>
        <w:numPr>
          <w:ilvl w:val="0"/>
          <w:numId w:val="2"/>
        </w:numPr>
        <w:spacing w:after="80" w:line="276"/>
      </w:pPr>
      <w:r>
        <w:t xml:space="preserve">Uso con otro tema o con estudiantes (por ejemplo, el seminario en Moodle).</w:t>
      </w:r>
    </w:p>
    <w:p>
      <w:pPr>
        <w:pStyle w:val="ListParagraph"/>
        <w:numPr>
          <w:ilvl w:val="0"/>
          <w:numId w:val="2"/>
        </w:numPr>
        <w:spacing w:after="80" w:line="276"/>
      </w:pPr>
      <w:r>
        <w:t xml:space="preserve">Cambios en las reglas o cifras del tablero RainEvidence.</w:t>
      </w:r>
    </w:p>
    <w:p>
      <w:pPr>
        <w:spacing w:after="80" w:before="120"/>
      </w:pPr>
      <w:r>
        <w:rPr>
          <w:b/>
          <w:bCs/>
        </w:rPr>
        <w:t xml:space="preserve">Si algo falla: </w:t>
      </w:r>
    </w:p>
    <w:p>
      <w:pPr>
        <w:pStyle w:val="ListParagraph"/>
        <w:numPr>
          <w:ilvl w:val="0"/>
          <w:numId w:val="2"/>
        </w:numPr>
        <w:spacing w:after="80" w:line="276"/>
      </w:pPr>
      <w:r>
        <w:t xml:space="preserve">Detener el uso del resultado afectado (fila, afirmación o cifra del tablero).</w:t>
      </w:r>
    </w:p>
    <w:p>
      <w:pPr>
        <w:pStyle w:val="ListParagraph"/>
        <w:numPr>
          <w:ilvl w:val="0"/>
          <w:numId w:val="2"/>
        </w:numPr>
        <w:spacing w:after="80" w:line="276"/>
      </w:pPr>
      <w:r>
        <w:t xml:space="preserve">Conservar la evidencia: versión de la hoja, conversación y captura.</w:t>
      </w:r>
    </w:p>
    <w:p>
      <w:pPr>
        <w:pStyle w:val="ListParagraph"/>
        <w:numPr>
          <w:ilvl w:val="0"/>
          <w:numId w:val="2"/>
        </w:numPr>
        <w:spacing w:after="80" w:line="276"/>
      </w:pPr>
      <w:r>
        <w:t xml:space="preserve">Revisar con las cinco fuentes y las pruebas P1–P10 como prueba de regresión.</w:t>
      </w:r>
    </w:p>
    <w:p>
      <w:pPr>
        <w:pStyle w:val="ListParagraph"/>
        <w:numPr>
          <w:ilvl w:val="0"/>
          <w:numId w:val="2"/>
        </w:numPr>
        <w:spacing w:after="80" w:line="276"/>
      </w:pPr>
      <w:r>
        <w:t xml:space="preserve">Decidir, registrar la decisión con firma en la hoja Registro y publicar una versión con número nuevo.</w:t>
      </w:r>
    </w:p>
    <w:p>
      <w:pPr>
        <w:spacing w:after="80" w:before="120"/>
      </w:pPr>
      <w:r>
        <w:rPr>
          <w:b/>
          <w:bCs/>
        </w:rPr>
        <w:t xml:space="preserve">Pendientes abiertos al 11-10-2026 (de la hoja Léame):</w:t>
      </w:r>
    </w:p>
    <w:p>
      <w:pPr>
        <w:pStyle w:val="ListParagraph"/>
        <w:numPr>
          <w:ilvl w:val="0"/>
          <w:numId w:val="2"/>
        </w:numPr>
        <w:spacing w:after="80" w:line="276"/>
      </w:pPr>
      <w:r>
        <w:rPr>
          <w:i/>
          <w:iCs/>
          <w:color w:val="A86500"/>
        </w:rPr>
        <w:t xml:space="preserve">Registrar la decisión de S05 en Selección (la propuesta es «Excluir» por C1).</w:t>
      </w:r>
    </w:p>
    <w:p>
      <w:pPr>
        <w:pStyle w:val="ListParagraph"/>
        <w:numPr>
          <w:ilvl w:val="0"/>
          <w:numId w:val="2"/>
        </w:numPr>
        <w:spacing w:after="80" w:line="276"/>
      </w:pPr>
      <w:r>
        <w:rPr>
          <w:i/>
          <w:iCs/>
          <w:color w:val="A86500"/>
        </w:rPr>
        <w:t xml:space="preserve">Anotar resultado observado, quién ejecutó y fecha de P7–P10.</w:t>
      </w:r>
    </w:p>
    <w:p>
      <w:pPr>
        <w:pStyle w:val="ListParagraph"/>
        <w:numPr>
          <w:ilvl w:val="0"/>
          <w:numId w:val="2"/>
        </w:numPr>
        <w:spacing w:after="80" w:line="276"/>
      </w:pPr>
      <w:r>
        <w:rPr>
          <w:i/>
          <w:iCs/>
          <w:color w:val="A86500"/>
        </w:rPr>
        <w:t xml:space="preserve">Aclarar E12 y E14: el Registro dice «Corregido» y Extracción dice «Aprobado».</w:t>
      </w:r>
    </w:p>
    <w:p>
      <w:pPr>
        <w:pStyle w:val="ListParagraph"/>
        <w:numPr>
          <w:ilvl w:val="0"/>
          <w:numId w:val="2"/>
        </w:numPr>
        <w:spacing w:after="80" w:line="276"/>
      </w:pPr>
      <w:r>
        <w:rPr>
          <w:i/>
          <w:iCs/>
          <w:color w:val="A86500"/>
        </w:rPr>
        <w:t xml:space="preserve">Firmar el paso 32 del Registro.</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F6B7D"/>
        <w:sz w:val="16"/>
        <w:szCs w:val="16"/>
      </w:rPr>
      <w:t xml:space="preserve">VC-2026-020-024 · Nota metodológica v1 · página </w:t>
    </w:r>
    <w:r>
      <w:rPr>
        <w:color w:val="5F6B7D"/>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Georgia" w:cs="Georgia" w:eastAsia="Georgia" w:hAnsi="Georgia"/>
      <w:color w:val="0B1020"/>
      <w:sz w:val="40"/>
      <w:szCs w:val="40"/>
    </w:rPr>
  </w:style>
  <w:style w:type="paragraph" w:styleId="Heading1">
    <w:name w:val="Heading 1"/>
    <w:basedOn w:val="Normal"/>
    <w:next w:val="Normal"/>
    <w:qFormat/>
    <w:pPr>
      <w:outlineLvl w:val="0"/>
    </w:pPr>
    <w:rPr>
      <w:rFonts w:ascii="Georgia" w:cs="Georgia" w:eastAsia="Georgia" w:hAnsi="Georgia"/>
      <w:color w:val="0B1020"/>
      <w:sz w:val="28"/>
      <w:szCs w:val="28"/>
    </w:rPr>
  </w:style>
  <w:style w:type="paragraph" w:styleId="Heading2">
    <w:name w:val="Heading 2"/>
    <w:basedOn w:val="Normal"/>
    <w:next w:val="Normal"/>
    <w:qFormat/>
    <w:pPr>
      <w:outlineLvl w:val="1"/>
    </w:pPr>
    <w:rPr>
      <w:rFonts w:ascii="Georgia" w:cs="Georgia" w:eastAsia="Georgia" w:hAnsi="Georgia"/>
      <w:color w:val="0B102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metodológica · VibeAutomateResearchTool</dc:title>
  <dc:creator>Patricio Simbaña Escobar; Miguel Ángel Botto Tobar</dc:creator>
  <cp:lastModifiedBy>Un-named</cp:lastModifiedBy>
  <cp:revision>1</cp:revision>
  <dcterms:created xsi:type="dcterms:W3CDTF">2026-10-12T02:33:30.983Z</dcterms:created>
  <dcterms:modified xsi:type="dcterms:W3CDTF">2026-10-12T02:33:30.983Z</dcterms:modified>
</cp:coreProperties>
</file>

<file path=docProps/custom.xml><?xml version="1.0" encoding="utf-8"?>
<Properties xmlns="http://schemas.openxmlformats.org/officeDocument/2006/custom-properties" xmlns:vt="http://schemas.openxmlformats.org/officeDocument/2006/docPropsVTypes"/>
</file>